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3">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314.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28"/>
        <w:gridCol w:w="5386"/>
        <w:tblGridChange w:id="0">
          <w:tblGrid>
            <w:gridCol w:w="2928"/>
            <w:gridCol w:w="5386"/>
          </w:tblGrid>
        </w:tblGridChange>
      </w:tblGrid>
      <w:tr>
        <w:trPr>
          <w:cantSplit w:val="0"/>
          <w:tblHeader w:val="0"/>
        </w:trPr>
        <w:tc>
          <w:tcPr>
            <w:shd w:fill="auto" w:val="clear"/>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Framework Manager"</w:t>
            </w:r>
          </w:p>
        </w:tc>
        <w:tc>
          <w:tcPr>
            <w:shd w:fill="auto" w:val="clear"/>
          </w:tcPr>
          <w:p w:rsidR="00000000" w:rsidDel="00000000" w:rsidP="00000000" w:rsidRDefault="00000000" w:rsidRPr="00000000" w14:paraId="00000005">
            <w:pPr>
              <w:numPr>
                <w:ilvl w:val="0"/>
                <w:numId w:val="1"/>
              </w:numPr>
              <w:pBdr>
                <w:top w:space="0" w:sz="0" w:val="nil"/>
                <w:left w:space="0" w:sz="0" w:val="nil"/>
                <w:bottom w:space="0" w:sz="0" w:val="nil"/>
                <w:right w:space="0" w:sz="0" w:val="nil"/>
                <w:between w:space="0" w:sz="0" w:val="nil"/>
              </w:pBdr>
              <w:tabs>
                <w:tab w:val="left" w:leader="none" w:pos="175"/>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3.1 of this Schedule; and</w:t>
            </w:r>
          </w:p>
        </w:tc>
      </w:tr>
      <w:tr>
        <w:trPr>
          <w:cantSplit w:val="0"/>
          <w:tblHeader w:val="0"/>
        </w:trP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Review Meetings"</w:t>
            </w:r>
          </w:p>
        </w:tc>
        <w:tc>
          <w:tcPr>
            <w:shd w:fill="auto" w:val="clear"/>
          </w:tcPr>
          <w:p w:rsidR="00000000" w:rsidDel="00000000" w:rsidP="00000000" w:rsidRDefault="00000000" w:rsidRPr="00000000" w14:paraId="00000007">
            <w:pPr>
              <w:numPr>
                <w:ilvl w:val="0"/>
                <w:numId w:val="1"/>
              </w:numPr>
              <w:pBdr>
                <w:top w:space="0" w:sz="0" w:val="nil"/>
                <w:left w:space="0" w:sz="0" w:val="nil"/>
                <w:bottom w:space="0" w:sz="0" w:val="nil"/>
                <w:right w:space="0" w:sz="0" w:val="nil"/>
                <w:between w:space="0" w:sz="0" w:val="nil"/>
              </w:pBdr>
              <w:tabs>
                <w:tab w:val="left" w:leader="none" w:pos="175"/>
              </w:tabs>
              <w:spacing w:after="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3.9 of this Schedule.</w:t>
            </w:r>
          </w:p>
        </w:tc>
      </w:tr>
    </w:tbl>
    <w:p w:rsidR="00000000" w:rsidDel="00000000" w:rsidP="00000000" w:rsidRDefault="00000000" w:rsidRPr="00000000" w14:paraId="00000008">
      <w:pPr>
        <w:keepNext w:val="1"/>
        <w:numPr>
          <w:ilvl w:val="0"/>
          <w:numId w:val="2"/>
        </w:numPr>
        <w:pBdr>
          <w:top w:space="0" w:sz="0" w:val="nil"/>
          <w:left w:space="0" w:sz="0" w:val="nil"/>
          <w:bottom w:space="0" w:sz="0" w:val="nil"/>
          <w:right w:space="0" w:sz="0" w:val="nil"/>
          <w:between w:space="0" w:sz="0" w:val="nil"/>
        </w:pBdr>
        <w:tabs>
          <w:tab w:val="left" w:leader="none" w:pos="142"/>
        </w:tabs>
        <w:spacing w:after="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CCS and the Supplier will work together</w:t>
      </w:r>
    </w:p>
    <w:p w:rsidR="00000000" w:rsidDel="00000000" w:rsidP="00000000" w:rsidRDefault="00000000" w:rsidRPr="00000000" w14:paraId="0000000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outlines the general structures and management activities that the Parties shall follow during the Framework Period.</w:t>
      </w:r>
    </w:p>
    <w:p w:rsidR="00000000" w:rsidDel="00000000" w:rsidP="00000000" w:rsidRDefault="00000000" w:rsidRPr="00000000" w14:paraId="0000000C">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Management</w:t>
      </w:r>
    </w:p>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tabs>
          <w:tab w:val="left" w:leader="none" w:pos="1134"/>
        </w:tabs>
        <w:spacing w:after="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Management Structure</w:t>
      </w:r>
    </w:p>
    <w:p w:rsidR="00000000" w:rsidDel="00000000" w:rsidP="00000000" w:rsidRDefault="00000000" w:rsidRPr="00000000" w14:paraId="0000000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rFonts w:ascii="Arial" w:cs="Arial" w:eastAsia="Arial" w:hAnsi="Arial"/>
          <w:b w:val="1"/>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Supplier shall provide a suitably qualified nominated contact (the "</w:t>
      </w:r>
      <w:r w:rsidDel="00000000" w:rsidR="00000000" w:rsidRPr="00000000">
        <w:rPr>
          <w:rFonts w:ascii="Arial" w:cs="Arial" w:eastAsia="Arial" w:hAnsi="Arial"/>
          <w:b w:val="1"/>
          <w:color w:val="000000"/>
          <w:sz w:val="24"/>
          <w:szCs w:val="24"/>
          <w:rtl w:val="0"/>
        </w:rPr>
        <w:t xml:space="preserve">Supplier Framework Manager</w:t>
      </w:r>
      <w:r w:rsidDel="00000000" w:rsidR="00000000" w:rsidRPr="00000000">
        <w:rPr>
          <w:rFonts w:ascii="Arial" w:cs="Arial" w:eastAsia="Arial" w:hAnsi="Arial"/>
          <w:color w:val="000000"/>
          <w:sz w:val="24"/>
          <w:szCs w:val="24"/>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put in place a structure to manage this Contract in</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color w:val="000000"/>
          <w:sz w:val="24"/>
          <w:szCs w:val="24"/>
          <w:rtl w:val="0"/>
        </w:rPr>
        <w:t xml:space="preserve">"Supplier Action Plan"</w:t>
      </w:r>
      <w:r w:rsidDel="00000000" w:rsidR="00000000" w:rsidRPr="00000000">
        <w:rPr>
          <w:rFonts w:ascii="Arial" w:cs="Arial" w:eastAsia="Arial" w:hAnsi="Arial"/>
          <w:color w:val="000000"/>
          <w:sz w:val="24"/>
          <w:szCs w:val="24"/>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rPr>
          <w:rFonts w:ascii="Arial" w:cs="Arial" w:eastAsia="Arial" w:hAnsi="Arial"/>
          <w:sz w:val="24"/>
          <w:szCs w:val="24"/>
        </w:rPr>
      </w:pPr>
      <w:bookmarkStart w:colFirst="0" w:colLast="0" w:name="_heading=h.30j0zll" w:id="1"/>
      <w:bookmarkEnd w:id="1"/>
      <w:r w:rsidDel="00000000" w:rsidR="00000000" w:rsidRPr="00000000">
        <w:br w:type="page"/>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240" w:lineRule="auto"/>
        <w:ind w:left="900" w:hanging="576"/>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1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all requests from CCS in regard to compliance requirements as required including:</w:t>
      </w:r>
    </w:p>
    <w:p w:rsidR="00000000" w:rsidDel="00000000" w:rsidP="00000000" w:rsidRDefault="00000000" w:rsidRPr="00000000" w14:paraId="0000001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Dun and Bradstreet risk failure score monitoring;</w:t>
      </w:r>
    </w:p>
    <w:p w:rsidR="00000000" w:rsidDel="00000000" w:rsidP="00000000" w:rsidRDefault="00000000" w:rsidRPr="00000000" w14:paraId="0000001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regular evidence that the Required Insurances and Additional Insurances have been renewed and maintained;</w:t>
      </w:r>
    </w:p>
    <w:p w:rsidR="00000000" w:rsidDel="00000000" w:rsidP="00000000" w:rsidRDefault="00000000" w:rsidRPr="00000000" w14:paraId="0000001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invoice payment performance; and</w:t>
      </w:r>
    </w:p>
    <w:p w:rsidR="00000000" w:rsidDel="00000000" w:rsidP="00000000" w:rsidRDefault="00000000" w:rsidRPr="00000000" w14:paraId="0000001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verification of required accreditations &amp; certifications.</w:t>
      </w:r>
    </w:p>
    <w:p w:rsidR="00000000" w:rsidDel="00000000" w:rsidP="00000000" w:rsidRDefault="00000000" w:rsidRPr="00000000" w14:paraId="0000001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p>
    <w:p w:rsidR="00000000" w:rsidDel="00000000" w:rsidP="00000000" w:rsidRDefault="00000000" w:rsidRPr="00000000" w14:paraId="0000001C">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b w:val="1"/>
          <w:color w:val="000000"/>
          <w:sz w:val="24"/>
          <w:szCs w:val="24"/>
        </w:rPr>
      </w:pPr>
      <w:bookmarkStart w:colFirst="0" w:colLast="0" w:name="_heading=h.3znysh7" w:id="3"/>
      <w:bookmarkEnd w:id="3"/>
      <w:r w:rsidDel="00000000" w:rsidR="00000000" w:rsidRPr="00000000">
        <w:rPr>
          <w:rFonts w:ascii="Arial" w:cs="Arial" w:eastAsia="Arial" w:hAnsi="Arial"/>
          <w:b w:val="1"/>
          <w:color w:val="000000"/>
          <w:sz w:val="24"/>
          <w:szCs w:val="24"/>
          <w:rtl w:val="0"/>
        </w:rPr>
        <w:t xml:space="preserve">Supplier Review Meetings</w:t>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rFonts w:ascii="Arial" w:cs="Arial" w:eastAsia="Arial" w:hAnsi="Arial"/>
          <w:b w:val="1"/>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Regular performance review meetings will take place at CCS’s premises throughout the Framework Contract Period</w:t>
      </w:r>
      <w:r w:rsidDel="00000000" w:rsidR="00000000" w:rsidRPr="00000000">
        <w:rPr>
          <w:rFonts w:ascii="Arial" w:cs="Arial" w:eastAsia="Arial" w:hAnsi="Arial"/>
          <w:b w:val="1"/>
          <w:color w:val="000000"/>
          <w:sz w:val="24"/>
          <w:szCs w:val="24"/>
          <w:rtl w:val="0"/>
        </w:rPr>
        <w:t xml:space="preserve"> ("Supplier Review Meetings")</w:t>
      </w:r>
      <w:r w:rsidDel="00000000" w:rsidR="00000000" w:rsidRPr="00000000">
        <w:rPr>
          <w:rFonts w:ascii="Arial" w:cs="Arial" w:eastAsia="Arial" w:hAnsi="Arial"/>
          <w:color w:val="000000"/>
          <w:sz w:val="24"/>
          <w:szCs w:val="24"/>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CCS may ask the Supplier to discuss any instances known to the Supplier where any Other Contracting Authority decided not to use this Framework Contract for their order.</w:t>
      </w:r>
      <w:r w:rsidDel="00000000" w:rsidR="00000000" w:rsidRPr="00000000">
        <w:rPr>
          <w:rtl w:val="0"/>
        </w:rPr>
      </w:r>
    </w:p>
    <w:p w:rsidR="00000000" w:rsidDel="00000000" w:rsidP="00000000" w:rsidRDefault="00000000" w:rsidRPr="00000000" w14:paraId="0000002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134"/>
        </w:tabs>
        <w:spacing w:after="120" w:before="120" w:line="240" w:lineRule="auto"/>
        <w:ind w:left="900" w:hanging="576"/>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2">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Supplier’s Performance will be measured</w:t>
      </w:r>
    </w:p>
    <w:p w:rsidR="00000000" w:rsidDel="00000000" w:rsidP="00000000" w:rsidRDefault="00000000" w:rsidRPr="00000000" w14:paraId="00000023">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performance will be measured by the following Performance Indicators (“PI”):</w:t>
      </w:r>
    </w:p>
    <w:tbl>
      <w:tblPr>
        <w:tblStyle w:val="Table2"/>
        <w:tblW w:w="800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93"/>
        <w:gridCol w:w="1476"/>
        <w:gridCol w:w="2234"/>
        <w:tblGridChange w:id="0">
          <w:tblGrid>
            <w:gridCol w:w="4293"/>
            <w:gridCol w:w="1476"/>
            <w:gridCol w:w="223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4">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5">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Measured by</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highlight w:val="yellow"/>
                <w:rtl w:val="0"/>
              </w:rPr>
              <w:t xml:space="preserve">[Description of PI]</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spacing w:after="80" w:before="80" w:lineRule="auto"/>
              <w:rPr>
                <w:rFonts w:ascii="Arial" w:cs="Arial" w:eastAsia="Arial" w:hAnsi="Arial"/>
                <w:b w:val="1"/>
                <w:sz w:val="24"/>
                <w:szCs w:val="24"/>
                <w:highlight w:val="yellow"/>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color w:val="000000"/>
                <w:sz w:val="24"/>
                <w:szCs w:val="24"/>
                <w:highlight w:val="green"/>
              </w:rPr>
            </w:pP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spacing w:after="80" w:before="80" w:lineRule="auto"/>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keepNext w:val="1"/>
              <w:pBdr>
                <w:top w:space="0" w:sz="0" w:val="nil"/>
                <w:left w:space="0" w:sz="0" w:val="nil"/>
                <w:bottom w:space="0" w:sz="0" w:val="nil"/>
                <w:right w:space="0" w:sz="0" w:val="nil"/>
                <w:between w:space="0" w:sz="0" w:val="nil"/>
              </w:pBdr>
              <w:spacing w:after="80" w:before="8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keepNext w:val="1"/>
              <w:pBdr>
                <w:top w:space="0" w:sz="0" w:val="nil"/>
                <w:left w:space="0" w:sz="0" w:val="nil"/>
                <w:bottom w:space="0" w:sz="0" w:val="nil"/>
                <w:right w:space="0" w:sz="0" w:val="nil"/>
                <w:between w:space="0" w:sz="0" w:val="nil"/>
              </w:pBdr>
              <w:spacing w:after="80" w:before="80"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tc>
      </w:tr>
    </w:tbl>
    <w:p w:rsidR="00000000" w:rsidDel="00000000" w:rsidP="00000000" w:rsidRDefault="00000000" w:rsidRPr="00000000" w14:paraId="00000030">
      <w:pPr>
        <w:tabs>
          <w:tab w:val="left" w:leader="none"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reserves the right to adjust, introduce new, or remove PIs throughout the Framework Contract Period, however any significant changes to PIs shall be agreed between CCS and the Supplier in accordance with the Variation Procedure.</w:t>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90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reserves the right to use and publish the performance of the Supplier against the PIs without restriction.</w:t>
      </w:r>
    </w:p>
    <w:p w:rsidR="00000000" w:rsidDel="00000000" w:rsidP="00000000" w:rsidRDefault="00000000" w:rsidRPr="00000000" w14:paraId="00000034">
      <w:pPr>
        <w:keepLines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must do to measure their performance</w:t>
      </w:r>
    </w:p>
    <w:p w:rsidR="00000000" w:rsidDel="00000000" w:rsidP="00000000" w:rsidRDefault="00000000" w:rsidRPr="00000000" w14:paraId="00000035">
      <w:pPr>
        <w:keepNext w:val="1"/>
        <w:keepLines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3A">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to do if CCS and the Supplier can’t agree about the performance </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cases where CCS Authorised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3D">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w:cs="Arial" w:eastAsia="Arial" w:hAnsi="Arial"/>
          <w:b w:val="1"/>
          <w:color w:val="000000"/>
          <w:sz w:val="24"/>
          <w:szCs w:val="24"/>
        </w:rPr>
      </w:pPr>
      <w:bookmarkStart w:colFirst="0" w:colLast="0" w:name="_heading=h.3dy6vkm" w:id="6"/>
      <w:bookmarkEnd w:id="6"/>
      <w:r w:rsidDel="00000000" w:rsidR="00000000" w:rsidRPr="00000000">
        <w:rPr>
          <w:rFonts w:ascii="Arial" w:cs="Arial" w:eastAsia="Arial" w:hAnsi="Arial"/>
          <w:b w:val="1"/>
          <w:color w:val="000000"/>
          <w:sz w:val="24"/>
          <w:szCs w:val="24"/>
          <w:rtl w:val="0"/>
        </w:rPr>
        <w:t xml:space="preserve">Marketing</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 person is appointed as Supplier Marketing Contact who shall be responsible for the marketing obligations of the Supplier in relation to this Contract. </w:t>
      </w:r>
    </w:p>
    <w:p w:rsidR="00000000" w:rsidDel="00000000" w:rsidP="00000000" w:rsidRDefault="00000000" w:rsidRPr="00000000" w14:paraId="0000003F">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 must contribute to CCS publications</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color w:val="000000"/>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Such information shall be provided in such form and at such time as CCS may request.</w:t>
      </w:r>
    </w:p>
    <w:p w:rsidR="00000000" w:rsidDel="00000000" w:rsidP="00000000" w:rsidRDefault="00000000" w:rsidRPr="00000000" w14:paraId="0000004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43">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Suppliers can say in its own publications</w:t>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marketing materials produced by the Supplier in relation to this Framework shall at all times comply with the CCS branding guidance at</w:t>
        <w:tab/>
        <w:t xml:space="preserve"> </w:t>
      </w:r>
      <w:hyperlink r:id="rId7">
        <w:r w:rsidDel="00000000" w:rsidR="00000000" w:rsidRPr="00000000">
          <w:rPr>
            <w:rFonts w:ascii="Arial" w:cs="Arial" w:eastAsia="Arial" w:hAnsi="Arial"/>
            <w:color w:val="0000ff"/>
            <w:sz w:val="24"/>
            <w:szCs w:val="24"/>
            <w:u w:val="single"/>
            <w:rtl w:val="0"/>
          </w:rPr>
          <w:t xml:space="preserve">https://www.gov.uk/government/publications/crown-commercial-service-supplier-logo-and-brand-guidelines</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periodically update and revise its marketing materials to ensure ongoing compliance.</w:t>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000000" w:rsidDel="00000000" w:rsidP="00000000" w:rsidRDefault="00000000" w:rsidRPr="00000000" w14:paraId="00000048">
      <w:pPr>
        <w:keepNext w:val="1"/>
        <w:numPr>
          <w:ilvl w:val="0"/>
          <w:numId w:val="2"/>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CCS might oversee parts of the Call-Off Contracts</w:t>
      </w:r>
    </w:p>
    <w:p w:rsidR="00000000" w:rsidDel="00000000" w:rsidP="00000000" w:rsidRDefault="00000000" w:rsidRPr="00000000" w14:paraId="00000049">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shall have oversight of certain processes which are operated under Call-Off Contracts. Such oversight shall be provided in relation to the operation of the following Schedules in each Call-Off Contract:</w:t>
      </w:r>
    </w:p>
    <w:p w:rsidR="00000000" w:rsidDel="00000000" w:rsidP="00000000" w:rsidRDefault="00000000" w:rsidRPr="00000000" w14:paraId="0000004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1"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4B">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1"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 and</w:t>
      </w:r>
    </w:p>
    <w:p w:rsidR="00000000" w:rsidDel="00000000" w:rsidP="00000000" w:rsidRDefault="00000000" w:rsidRPr="00000000" w14:paraId="0000004C">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 (Security).</w:t>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leader="none" w:pos="1985"/>
        </w:tabs>
        <w:spacing w:after="120" w:before="120" w:line="240" w:lineRule="auto"/>
        <w:ind w:left="2160" w:hanging="4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w:t>
      </w:r>
      <w:r w:rsidDel="00000000" w:rsidR="00000000" w:rsidRPr="00000000">
        <w:rPr>
          <w:rFonts w:ascii="Arial" w:cs="Arial" w:eastAsia="Arial" w:hAnsi="Arial"/>
          <w:b w:val="1"/>
          <w:color w:val="000000"/>
          <w:sz w:val="24"/>
          <w:szCs w:val="24"/>
          <w:rtl w:val="0"/>
        </w:rPr>
        <w:t xml:space="preserve">"Supported Schedules"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4E">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 must support CCS involvement</w:t>
      </w:r>
    </w:p>
    <w:p w:rsidR="00000000" w:rsidDel="00000000" w:rsidP="00000000" w:rsidRDefault="00000000" w:rsidRPr="00000000" w14:paraId="0000004F">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co-operate as reasonably required by CCS in relation to the Supported Schedules including:</w:t>
      </w:r>
    </w:p>
    <w:p w:rsidR="00000000" w:rsidDel="00000000" w:rsidP="00000000" w:rsidRDefault="00000000" w:rsidRPr="00000000" w14:paraId="00000050">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provision of information;</w:t>
      </w:r>
    </w:p>
    <w:p w:rsidR="00000000" w:rsidDel="00000000" w:rsidP="00000000" w:rsidRDefault="00000000" w:rsidRPr="00000000" w14:paraId="0000005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52">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matters as CCS may notify to the Supplier from time to time.</w:t>
      </w:r>
    </w:p>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leader="none"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CCS might manage the process for Buyers collectively </w:t>
      </w:r>
    </w:p>
    <w:p w:rsidR="00000000" w:rsidDel="00000000" w:rsidP="00000000" w:rsidRDefault="00000000" w:rsidRPr="00000000" w14:paraId="00000054">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55">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72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highlight w:val="yellow"/>
          <w:rtl w:val="0"/>
        </w:rPr>
        <w:t xml:space="preserve">[Guidance Note: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provisions in Paragraph 8 are to be included where CCS would be better placed to provide support on behalf of the Buyer community as a whole in these areas.]</w:t>
      </w:r>
      <w:r w:rsidDel="00000000" w:rsidR="00000000" w:rsidRPr="00000000">
        <w:rPr>
          <w:rtl w:val="0"/>
        </w:rPr>
      </w:r>
    </w:p>
    <w:p w:rsidR="00000000" w:rsidDel="00000000" w:rsidP="00000000" w:rsidRDefault="00000000" w:rsidRPr="00000000" w14:paraId="0000005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1"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 - the Supplier shall:</w:t>
      </w:r>
    </w:p>
    <w:p w:rsidR="00000000" w:rsidDel="00000000" w:rsidP="00000000" w:rsidRDefault="00000000" w:rsidRPr="00000000" w14:paraId="00000057">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adopt a policy of continuous improvement in relation to the Deliverables;</w:t>
      </w:r>
    </w:p>
    <w:p w:rsidR="00000000" w:rsidDel="00000000" w:rsidP="00000000" w:rsidRDefault="00000000" w:rsidRPr="00000000" w14:paraId="00000058">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1"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 - the Supplier shall:</w:t>
      </w:r>
    </w:p>
    <w:p w:rsidR="00000000" w:rsidDel="00000000" w:rsidP="00000000" w:rsidRDefault="00000000" w:rsidRPr="00000000" w14:paraId="0000005A">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5B">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847"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D">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CCS in the event of the invocation or potential invocation of any BCDR plan and the Supplier shall provide such support as CCS may reasonably require to coordinate the application of BCDR plans across all Call Off Contracts.]</w:t>
      </w:r>
    </w:p>
    <w:p w:rsidR="00000000" w:rsidDel="00000000" w:rsidP="00000000" w:rsidRDefault="00000000" w:rsidRPr="00000000" w14:paraId="0000005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 (Security) - the Supplier shall:</w:t>
      </w:r>
    </w:p>
    <w:p w:rsidR="00000000" w:rsidDel="00000000" w:rsidP="00000000" w:rsidRDefault="00000000" w:rsidRPr="00000000" w14:paraId="0000005F">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552"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60">
      <w:pPr>
        <w:numPr>
          <w:ilvl w:val="3"/>
          <w:numId w:val="2"/>
        </w:numPr>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ind w:left="2552"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CCS in the event of breach of any Security Plan and the Supplier shall provide such support as CCS may reasonably require to coordinate the application of Security Plans across all Call Off Contracts.]</w:t>
      </w:r>
    </w:p>
    <w:p w:rsidR="00000000" w:rsidDel="00000000" w:rsidP="00000000" w:rsidRDefault="00000000" w:rsidRPr="00000000" w14:paraId="00000061">
      <w:pPr>
        <w:keepNext w:val="1"/>
        <w:pBdr>
          <w:top w:space="0" w:sz="0" w:val="nil"/>
          <w:left w:space="0" w:sz="0" w:val="nil"/>
          <w:bottom w:space="0" w:sz="0" w:val="nil"/>
          <w:right w:space="0" w:sz="0" w:val="nil"/>
          <w:between w:space="0" w:sz="0" w:val="nil"/>
        </w:pBdr>
        <w:tabs>
          <w:tab w:val="left" w:leader="none" w:pos="1985"/>
          <w:tab w:val="left" w:leader="none" w:pos="1985"/>
          <w:tab w:val="left" w:leader="none" w:pos="2552"/>
        </w:tabs>
        <w:spacing w:after="120" w:before="120" w:line="240" w:lineRule="auto"/>
        <w:rPr>
          <w:rFonts w:ascii="Arial" w:cs="Arial" w:eastAsia="Arial" w:hAnsi="Arial"/>
          <w:color w:val="000000"/>
          <w:sz w:val="24"/>
          <w:szCs w:val="24"/>
          <w:highlight w:val="red"/>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RM6289 Provision of Power Purchase Agreement</w:t>
      <w:tab/>
      <w:t xml:space="preserve">                                           </w:t>
    </w:r>
  </w:p>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8">
    <w:pPr>
      <w:spacing w:after="0" w:line="240" w:lineRule="auto"/>
      <w:jc w:val="both"/>
      <w:rPr/>
    </w:pPr>
    <w:r w:rsidDel="00000000" w:rsidR="00000000" w:rsidRPr="00000000">
      <w:rPr>
        <w:rFonts w:ascii="Arial" w:cs="Arial" w:eastAsia="Arial" w:hAnsi="Arial"/>
        <w:sz w:val="20"/>
        <w:szCs w:val="20"/>
        <w:rtl w:val="0"/>
      </w:rPr>
      <w:t xml:space="preserve">Model Version: v3.4</w:t>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bfbfbf"/>
      </w:rPr>
    </w:pPr>
    <w:r w:rsidDel="00000000" w:rsidR="00000000" w:rsidRPr="00000000">
      <w:rPr>
        <w:rFonts w:ascii="Arial" w:cs="Arial" w:eastAsia="Arial" w:hAnsi="Arial"/>
        <w:color w:val="000000"/>
        <w:sz w:val="20"/>
        <w:szCs w:val="20"/>
        <w:rtl w:val="0"/>
      </w:rPr>
      <w:t xml:space="preserve">Model Version: v3.0</w:t>
      <w:tab/>
    </w:r>
    <w:r w:rsidDel="00000000" w:rsidR="00000000" w:rsidRPr="00000000">
      <w:rPr>
        <w:rFonts w:ascii="Arial" w:cs="Arial" w:eastAsia="Arial" w:hAnsi="Arial"/>
        <w:color w:val="bfbfbf"/>
        <w:sz w:val="20"/>
        <w:szCs w:val="20"/>
        <w:rtl w:val="0"/>
      </w:rPr>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4 (Framework Management)</w:t>
    </w: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24</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4 (Framework Management)</w:t>
    </w: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link w:val="Heading5Char"/>
    <w:uiPriority w:val="9"/>
    <w:semiHidden w:val="1"/>
    <w:unhideWhenUsed w:val="1"/>
    <w:qFormat w:val="1"/>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uiPriority w:val="9"/>
    <w:semiHidden w:val="1"/>
    <w:unhideWhenUsed w:val="1"/>
    <w:qFormat w:val="1"/>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cs="Arial" w:eastAsia="STZhongsong"/>
      <w:b w:val="1"/>
      <w:caps w:val="1"/>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cs="Arial" w:eastAsia="Times New Roman"/>
    </w:rPr>
  </w:style>
  <w:style w:type="paragraph" w:styleId="GPSL4numberedclause" w:customStyle="1">
    <w:name w:val="GPS L4 numbered clause"/>
    <w:basedOn w:val="GPSL3numberedclause"/>
    <w:qFormat w:val="1"/>
    <w:pPr>
      <w:numPr>
        <w:ilvl w:val="3"/>
      </w:numPr>
      <w:tabs>
        <w:tab w:val="clear" w:pos="1985"/>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cs="Arial" w:eastAsia="Times New Roman"/>
      <w:b w:val="1"/>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cs="Arial" w:eastAsia="Times New Roman"/>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cs="Arial" w:eastAsia="Times New Roman"/>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cs="Arial" w:eastAsia="Times New Roma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FootnoteText">
    <w:name w:val="footnote text"/>
    <w:basedOn w:val="Normal"/>
    <w:link w:val="FootnoteTextChar"/>
    <w:uiPriority w:val="99"/>
    <w:semiHidden w:val="1"/>
    <w:unhideWhenUsed w:val="1"/>
    <w:rsid w:val="00077B21"/>
    <w:pPr>
      <w:spacing w:after="0" w:line="240" w:lineRule="auto"/>
    </w:pPr>
    <w:rPr>
      <w:sz w:val="20"/>
      <w:szCs w:val="20"/>
    </w:rPr>
  </w:style>
  <w:style w:type="character" w:styleId="FootnoteTextChar" w:customStyle="1">
    <w:name w:val="Footnote Text Char"/>
    <w:basedOn w:val="DefaultParagraphFont"/>
    <w:link w:val="FootnoteText"/>
    <w:uiPriority w:val="99"/>
    <w:semiHidden w:val="1"/>
    <w:rsid w:val="00077B21"/>
    <w:rPr>
      <w:sz w:val="20"/>
      <w:szCs w:val="20"/>
    </w:rPr>
  </w:style>
  <w:style w:type="character" w:styleId="FootnoteReference">
    <w:name w:val="footnote reference"/>
    <w:basedOn w:val="DefaultParagraphFont"/>
    <w:uiPriority w:val="99"/>
    <w:semiHidden w:val="1"/>
    <w:unhideWhenUsed w:val="1"/>
    <w:rsid w:val="00077B21"/>
    <w:rPr>
      <w:vertAlign w:val="superscript"/>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9JbC3AmwlIqkxQhAu2W5/Q4ilJg==">CgMxLjAyCGguZ2pkZ3hzMgloLjMwajB6bGwyCWguMWZvYjl0ZTIJaC4zem55c2g3MgloLjJldDkycDAyCGgudHlqY3d0MgloLjNkeTZ2a20yCWguMXQzaDVzZjIJaC40ZDM0b2c4OAByITEwM3hiR1JPSVE4WloteDRyVndQVEhYZTEyUHRIZXpvdQ==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2024-08-09T11:45:00Z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iManageFooter">
    <vt:lpwstr>#109517336v5&lt;L_LIVE_EMEA1&gt; - PPA v3.0 (Framework Schedule 4 - Framework Management v3.4)</vt:lpwstr>
  </property>
</Properties>
</file>